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DB" w:rsidRDefault="00531232" w:rsidP="007132A4">
      <w:pPr>
        <w:spacing w:after="0"/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Rochester Black Personhood</w:t>
      </w:r>
    </w:p>
    <w:p w:rsidR="007132A4" w:rsidRPr="007132A4" w:rsidRDefault="007132A4" w:rsidP="007132A4">
      <w:pPr>
        <w:spacing w:after="0"/>
        <w:jc w:val="center"/>
        <w:rPr>
          <w:rFonts w:asciiTheme="majorHAnsi" w:hAnsiTheme="majorHAnsi"/>
          <w:sz w:val="24"/>
        </w:rPr>
      </w:pPr>
      <w:r w:rsidRPr="007132A4">
        <w:rPr>
          <w:rFonts w:asciiTheme="majorHAnsi" w:hAnsiTheme="majorHAnsi"/>
          <w:sz w:val="24"/>
        </w:rPr>
        <w:t>www.AmINotAChild.com</w:t>
      </w:r>
    </w:p>
    <w:p w:rsidR="00900F99" w:rsidRPr="007132A4" w:rsidRDefault="00AE2984" w:rsidP="007132A4">
      <w:pPr>
        <w:spacing w:before="240"/>
        <w:jc w:val="center"/>
        <w:rPr>
          <w:rStyle w:val="Emphasis"/>
          <w:i w:val="0"/>
          <w:sz w:val="28"/>
        </w:rPr>
      </w:pPr>
      <w:r w:rsidRPr="00AE2984">
        <w:rPr>
          <w:rStyle w:val="Emphasis"/>
          <w:i w:val="0"/>
          <w:color w:val="FF0000"/>
          <w:sz w:val="28"/>
        </w:rPr>
        <w:t>WARNING</w:t>
      </w:r>
      <w:r w:rsidR="0044581E">
        <w:rPr>
          <w:rStyle w:val="Emphasis"/>
          <w:i w:val="0"/>
          <w:color w:val="FF0000"/>
          <w:sz w:val="28"/>
        </w:rPr>
        <w:t>: WE FACE EXTINCTION</w:t>
      </w:r>
    </w:p>
    <w:p w:rsidR="000D7279" w:rsidRDefault="00DC1C12" w:rsidP="005A79FB">
      <w:pPr>
        <w:pStyle w:val="ListParagraph"/>
        <w:ind w:left="36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16D184" wp14:editId="18707E29">
            <wp:simplePos x="0" y="0"/>
            <wp:positionH relativeFrom="column">
              <wp:posOffset>2891155</wp:posOffset>
            </wp:positionH>
            <wp:positionV relativeFrom="paragraph">
              <wp:posOffset>24130</wp:posOffset>
            </wp:positionV>
            <wp:extent cx="143256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9FB">
        <w:t>Monroe County’s</w:t>
      </w:r>
      <w:r w:rsidR="007132A4">
        <w:t xml:space="preserve"> black community in is on </w:t>
      </w:r>
      <w:r w:rsidR="000C5189">
        <w:t>the</w:t>
      </w:r>
      <w:r w:rsidR="007132A4">
        <w:t xml:space="preserve"> path to extinction.</w:t>
      </w:r>
      <w:r w:rsidR="007132A4" w:rsidRPr="007132A4">
        <w:t xml:space="preserve"> </w:t>
      </w:r>
      <w:r w:rsidR="00025E58">
        <w:t>Our</w:t>
      </w:r>
      <w:r w:rsidR="007132A4">
        <w:t xml:space="preserve"> population meets IUCN criteria for an </w:t>
      </w:r>
      <w:r w:rsidR="007132A4" w:rsidRPr="007132A4">
        <w:rPr>
          <w:b/>
        </w:rPr>
        <w:t>endangered species</w:t>
      </w:r>
      <w:r w:rsidR="007132A4">
        <w:t>.</w:t>
      </w:r>
      <w:r w:rsidR="000D7279">
        <w:rPr>
          <w:rStyle w:val="EndnoteReference"/>
        </w:rPr>
        <w:endnoteReference w:id="1"/>
      </w:r>
    </w:p>
    <w:p w:rsidR="000D7279" w:rsidRDefault="000D7279" w:rsidP="007132A4">
      <w:pPr>
        <w:ind w:left="360" w:hanging="360"/>
      </w:pPr>
      <w:r>
        <w:t xml:space="preserve">There are currently over 113,000 black people in Monroe County. </w:t>
      </w:r>
      <w:r w:rsidR="006D22C8">
        <w:t xml:space="preserve">If </w:t>
      </w:r>
      <w:r>
        <w:t xml:space="preserve">current </w:t>
      </w:r>
      <w:r w:rsidR="006D22C8">
        <w:t>trends continue</w:t>
      </w:r>
      <w:r>
        <w:t xml:space="preserve">, that </w:t>
      </w:r>
      <w:r w:rsidRPr="00AE2984">
        <w:rPr>
          <w:b/>
        </w:rPr>
        <w:t>population will be</w:t>
      </w:r>
      <w:r>
        <w:t xml:space="preserve"> </w:t>
      </w:r>
      <w:r w:rsidRPr="00900F99">
        <w:rPr>
          <w:b/>
        </w:rPr>
        <w:t>cut in half</w:t>
      </w:r>
      <w:r>
        <w:t xml:space="preserve"> by the time our </w:t>
      </w:r>
      <w:r w:rsidR="000878F9">
        <w:t>grandchildren retire</w:t>
      </w:r>
      <w:r>
        <w:t>—</w:t>
      </w:r>
      <w:r w:rsidR="000878F9">
        <w:t>as early as 60 years from now</w:t>
      </w:r>
      <w:r>
        <w:t>.</w:t>
      </w:r>
      <w:r>
        <w:rPr>
          <w:rStyle w:val="EndnoteReference"/>
        </w:rPr>
        <w:endnoteReference w:id="2"/>
      </w:r>
      <w:r>
        <w:rPr>
          <w:vertAlign w:val="superscript"/>
        </w:rPr>
        <w:t>,</w:t>
      </w:r>
      <w:r>
        <w:rPr>
          <w:rStyle w:val="EndnoteReference"/>
        </w:rPr>
        <w:endnoteReference w:id="3"/>
      </w:r>
      <w:r>
        <w:t xml:space="preserve"> </w:t>
      </w:r>
    </w:p>
    <w:p w:rsidR="000D7279" w:rsidRDefault="000D7279" w:rsidP="007132A4">
      <w:pPr>
        <w:ind w:left="360" w:hanging="360"/>
      </w:pPr>
      <w:r>
        <w:t xml:space="preserve">We are </w:t>
      </w:r>
      <w:r w:rsidRPr="00AE2984">
        <w:rPr>
          <w:b/>
        </w:rPr>
        <w:t>no longer replacing ourselves</w:t>
      </w:r>
      <w:r>
        <w:t xml:space="preserve">. </w:t>
      </w:r>
      <w:r w:rsidR="00DC1C12">
        <w:t>I</w:t>
      </w:r>
      <w:r>
        <w:t>n</w:t>
      </w:r>
      <w:r w:rsidR="000C5189">
        <w:t xml:space="preserve"> just</w:t>
      </w:r>
      <w:r>
        <w:t xml:space="preserve"> the last ten years black fertility rates </w:t>
      </w:r>
      <w:r w:rsidR="00AE2984">
        <w:t>have</w:t>
      </w:r>
      <w:r w:rsidR="000C5189">
        <w:t xml:space="preserve"> </w:t>
      </w:r>
      <w:r>
        <w:t xml:space="preserve">dropped by </w:t>
      </w:r>
      <w:r w:rsidR="000878F9">
        <w:t>over 20%</w:t>
      </w:r>
      <w:r>
        <w:t xml:space="preserve">, from </w:t>
      </w:r>
      <w:r w:rsidR="006D22C8">
        <w:t>2.48</w:t>
      </w:r>
      <w:r>
        <w:t xml:space="preserve"> children per woman to just </w:t>
      </w:r>
      <w:r w:rsidR="006D22C8">
        <w:t>1.96</w:t>
      </w:r>
      <w:r>
        <w:t xml:space="preserve"> children per woman.</w:t>
      </w:r>
      <w:bookmarkStart w:id="0" w:name="_Ref344993807"/>
      <w:r w:rsidRPr="00025E58">
        <w:rPr>
          <w:vertAlign w:val="superscript"/>
        </w:rPr>
        <w:endnoteReference w:id="4"/>
      </w:r>
      <w:bookmarkEnd w:id="0"/>
      <w:r w:rsidR="00DC1C12">
        <w:t xml:space="preserve"> Replacement rate is 2.1.</w:t>
      </w:r>
    </w:p>
    <w:p w:rsidR="00DC1C12" w:rsidRDefault="00025E58" w:rsidP="007132A4">
      <w:pPr>
        <w:ind w:left="360" w:hanging="360"/>
      </w:pPr>
      <w:r>
        <w:t>More than 1 in 3 black children are missing from our families due to abortion</w:t>
      </w:r>
      <w:r w:rsidR="00DC1C12">
        <w:t xml:space="preserve">: </w:t>
      </w:r>
      <w:r w:rsidRPr="00AE2984">
        <w:rPr>
          <w:b/>
        </w:rPr>
        <w:t>36% of black pregnancies end in abortion</w:t>
      </w:r>
      <w:r>
        <w:t>.</w:t>
      </w:r>
      <w:r w:rsidR="00DC1C12" w:rsidRPr="00DC1C12">
        <w:rPr>
          <w:vertAlign w:val="superscript"/>
        </w:rPr>
        <w:t>3</w:t>
      </w:r>
    </w:p>
    <w:p w:rsidR="00DC1C12" w:rsidRPr="00DC1C12" w:rsidRDefault="00DC1C12" w:rsidP="007132A4">
      <w:pPr>
        <w:ind w:left="360" w:hanging="360"/>
      </w:pPr>
      <w:r w:rsidRPr="00DC1C12">
        <w:t>Racial</w:t>
      </w:r>
      <w:r>
        <w:t xml:space="preserve"> and ethnic minorities represent 24% of females 15-44 years old, but have </w:t>
      </w:r>
      <w:r w:rsidRPr="00DC1C12">
        <w:rPr>
          <w:b/>
        </w:rPr>
        <w:t>65% of the abortions</w:t>
      </w:r>
      <w:r>
        <w:t>.</w:t>
      </w:r>
      <w:r>
        <w:rPr>
          <w:vertAlign w:val="superscript"/>
        </w:rPr>
        <w:t>3</w:t>
      </w:r>
    </w:p>
    <w:p w:rsidR="005A79FB" w:rsidRPr="005A79FB" w:rsidRDefault="000878F9" w:rsidP="005A79FB">
      <w:pPr>
        <w:ind w:left="360" w:hanging="360"/>
      </w:pPr>
      <w:r>
        <w:rPr>
          <w:noProof/>
        </w:rPr>
        <w:drawing>
          <wp:inline distT="0" distB="0" distL="0" distR="0" wp14:anchorId="67481B67" wp14:editId="050B9F60">
            <wp:extent cx="4114800" cy="2390775"/>
            <wp:effectExtent l="0" t="0" r="1905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0F99" w:rsidRPr="000D7279" w:rsidRDefault="0044581E" w:rsidP="000D7279">
      <w:pPr>
        <w:spacing w:before="240"/>
        <w:jc w:val="center"/>
        <w:rPr>
          <w:rStyle w:val="Emphasis"/>
          <w:i w:val="0"/>
          <w:sz w:val="28"/>
        </w:rPr>
      </w:pPr>
      <w:r>
        <w:rPr>
          <w:rStyle w:val="Emphasis"/>
          <w:i w:val="0"/>
          <w:color w:val="FF0000"/>
          <w:sz w:val="28"/>
        </w:rPr>
        <w:lastRenderedPageBreak/>
        <w:t xml:space="preserve">WE </w:t>
      </w:r>
      <w:r w:rsidRPr="0044581E">
        <w:rPr>
          <w:rStyle w:val="Emphasis"/>
          <w:i w:val="0"/>
          <w:color w:val="FF0000"/>
          <w:sz w:val="28"/>
        </w:rPr>
        <w:t xml:space="preserve">DEMAND </w:t>
      </w:r>
      <w:r w:rsidR="000D7279" w:rsidRPr="0044581E">
        <w:rPr>
          <w:rStyle w:val="Emphasis"/>
          <w:i w:val="0"/>
          <w:color w:val="FF0000"/>
          <w:sz w:val="28"/>
        </w:rPr>
        <w:t>PERSONHOOD</w:t>
      </w:r>
    </w:p>
    <w:p w:rsidR="00900F99" w:rsidRDefault="008D7A1C" w:rsidP="00900F99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9743B08" wp14:editId="5B09827D">
            <wp:simplePos x="0" y="0"/>
            <wp:positionH relativeFrom="column">
              <wp:posOffset>-47625</wp:posOffset>
            </wp:positionH>
            <wp:positionV relativeFrom="paragraph">
              <wp:posOffset>1166495</wp:posOffset>
            </wp:positionV>
            <wp:extent cx="733425" cy="734060"/>
            <wp:effectExtent l="0" t="0" r="9525" b="8890"/>
            <wp:wrapTight wrapText="bothSides">
              <wp:wrapPolygon edited="0">
                <wp:start x="0" y="0"/>
                <wp:lineTo x="0" y="21301"/>
                <wp:lineTo x="21319" y="21301"/>
                <wp:lineTo x="21319" y="0"/>
                <wp:lineTo x="0" y="0"/>
              </wp:wrapPolygon>
            </wp:wrapTight>
            <wp:docPr id="4" name="Picture 4" descr="http://wp.stockton.edu/hist3605/files/2012/01/Am-I-Not-A-Man-and-A-Brother-Abolitionist-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.stockton.edu/hist3605/files/2012/01/Am-I-Not-A-Man-and-A-Brother-Abolitionist-Slog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F99" w:rsidRPr="00075659">
        <w:rPr>
          <w:sz w:val="24"/>
        </w:rPr>
        <w:t xml:space="preserve">A person is an organism with unique human DNA governing </w:t>
      </w:r>
      <w:r w:rsidR="001E6696">
        <w:rPr>
          <w:sz w:val="24"/>
        </w:rPr>
        <w:t>his or her</w:t>
      </w:r>
      <w:r w:rsidR="00900F99" w:rsidRPr="00075659">
        <w:rPr>
          <w:sz w:val="24"/>
        </w:rPr>
        <w:t xml:space="preserve"> own maturation from conception to natural death. Every person </w:t>
      </w:r>
      <w:r w:rsidR="000C5189">
        <w:rPr>
          <w:sz w:val="24"/>
        </w:rPr>
        <w:t>bears</w:t>
      </w:r>
      <w:r w:rsidR="00900F99" w:rsidRPr="00075659">
        <w:rPr>
          <w:sz w:val="24"/>
        </w:rPr>
        <w:t xml:space="preserve"> the image of God. </w:t>
      </w:r>
      <w:r w:rsidR="000C5189">
        <w:rPr>
          <w:sz w:val="24"/>
        </w:rPr>
        <w:t>Any p</w:t>
      </w:r>
      <w:r w:rsidR="00900F99" w:rsidRPr="00075659">
        <w:rPr>
          <w:sz w:val="24"/>
        </w:rPr>
        <w:t xml:space="preserve">erson, therefore, demands our utmost </w:t>
      </w:r>
      <w:r w:rsidR="00900F99" w:rsidRPr="007D6CD0">
        <w:rPr>
          <w:b/>
          <w:sz w:val="24"/>
        </w:rPr>
        <w:t>dignity, respect, and protection</w:t>
      </w:r>
      <w:r w:rsidR="00AE2984" w:rsidRPr="004D56BF">
        <w:rPr>
          <w:sz w:val="24"/>
        </w:rPr>
        <w:t>—</w:t>
      </w:r>
      <w:r w:rsidR="000C5189">
        <w:rPr>
          <w:sz w:val="24"/>
        </w:rPr>
        <w:t>man</w:t>
      </w:r>
      <w:r w:rsidR="00AE2984">
        <w:rPr>
          <w:sz w:val="24"/>
        </w:rPr>
        <w:t>,</w:t>
      </w:r>
      <w:r w:rsidR="000C5189">
        <w:rPr>
          <w:sz w:val="24"/>
        </w:rPr>
        <w:t xml:space="preserve"> woman, boy and girl</w:t>
      </w:r>
      <w:r w:rsidR="004D56BF">
        <w:rPr>
          <w:sz w:val="24"/>
        </w:rPr>
        <w:t>—</w:t>
      </w:r>
      <w:r w:rsidR="000C5189">
        <w:rPr>
          <w:sz w:val="24"/>
        </w:rPr>
        <w:t>from</w:t>
      </w:r>
      <w:r w:rsidR="004D56BF">
        <w:rPr>
          <w:sz w:val="24"/>
        </w:rPr>
        <w:t xml:space="preserve"> </w:t>
      </w:r>
      <w:r w:rsidR="000C5189">
        <w:rPr>
          <w:sz w:val="24"/>
        </w:rPr>
        <w:t>the womb to the tomb</w:t>
      </w:r>
      <w:r w:rsidR="00900F99" w:rsidRPr="00075659">
        <w:rPr>
          <w:sz w:val="24"/>
        </w:rPr>
        <w:t xml:space="preserve">. </w:t>
      </w:r>
    </w:p>
    <w:p w:rsidR="00C53938" w:rsidRDefault="008D7A1C" w:rsidP="00900F99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6DFD46C" wp14:editId="23E4F300">
            <wp:simplePos x="0" y="0"/>
            <wp:positionH relativeFrom="column">
              <wp:posOffset>2400935</wp:posOffset>
            </wp:positionH>
            <wp:positionV relativeFrom="paragraph">
              <wp:posOffset>247650</wp:posOffset>
            </wp:positionV>
            <wp:extent cx="776605" cy="749935"/>
            <wp:effectExtent l="0" t="0" r="4445" b="0"/>
            <wp:wrapTight wrapText="bothSides">
              <wp:wrapPolygon edited="0">
                <wp:start x="0" y="0"/>
                <wp:lineTo x="0" y="20850"/>
                <wp:lineTo x="21194" y="20850"/>
                <wp:lineTo x="21194" y="0"/>
                <wp:lineTo x="0" y="0"/>
              </wp:wrapPolygon>
            </wp:wrapTight>
            <wp:docPr id="5" name="Picture 5" descr="http://neatnik2009.files.wordpress.com/2009/12/am-i-not-a-woman-and-a-sister.jpg?w=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atnik2009.files.wordpress.com/2009/12/am-i-not-a-woman-and-a-sister.jpg?w=10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984">
        <w:rPr>
          <w:sz w:val="24"/>
        </w:rPr>
        <w:t>In 17</w:t>
      </w:r>
      <w:r w:rsidR="009001C2">
        <w:rPr>
          <w:sz w:val="24"/>
        </w:rPr>
        <w:t>87</w:t>
      </w:r>
      <w:r w:rsidR="00AE2984">
        <w:rPr>
          <w:sz w:val="24"/>
        </w:rPr>
        <w:t xml:space="preserve"> </w:t>
      </w:r>
      <w:r w:rsidR="009001C2">
        <w:rPr>
          <w:sz w:val="24"/>
        </w:rPr>
        <w:t>w</w:t>
      </w:r>
      <w:r w:rsidR="00C53938">
        <w:rPr>
          <w:sz w:val="24"/>
        </w:rPr>
        <w:t>e asked, “AM I NOT A MAN AND A BROTHER?”</w:t>
      </w:r>
      <w:r w:rsidR="009001C2">
        <w:rPr>
          <w:sz w:val="24"/>
        </w:rPr>
        <w:t xml:space="preserve"> and we overcame.</w:t>
      </w:r>
      <w:r w:rsidR="00C53938" w:rsidRPr="00C53938">
        <w:t xml:space="preserve"> </w:t>
      </w:r>
    </w:p>
    <w:p w:rsidR="00C53938" w:rsidRDefault="00AE2984" w:rsidP="008D7A1C">
      <w:pPr>
        <w:rPr>
          <w:sz w:val="24"/>
        </w:rPr>
      </w:pPr>
      <w:r>
        <w:rPr>
          <w:sz w:val="24"/>
        </w:rPr>
        <w:t>In 18</w:t>
      </w:r>
      <w:r w:rsidR="009001C2">
        <w:rPr>
          <w:sz w:val="24"/>
        </w:rPr>
        <w:t>37 w</w:t>
      </w:r>
      <w:r w:rsidR="00C53938">
        <w:rPr>
          <w:sz w:val="24"/>
        </w:rPr>
        <w:t>e asked, “AM I NOT A WOMAN AND A SISTER?”</w:t>
      </w:r>
      <w:r w:rsidR="009001C2">
        <w:rPr>
          <w:sz w:val="24"/>
        </w:rPr>
        <w:t xml:space="preserve"> and we were victors.</w:t>
      </w:r>
    </w:p>
    <w:p w:rsidR="009001C2" w:rsidRDefault="009001C2" w:rsidP="009001C2">
      <w:pPr>
        <w:spacing w:before="240" w:after="0"/>
        <w:jc w:val="center"/>
        <w:rPr>
          <w:sz w:val="24"/>
        </w:rPr>
      </w:pPr>
      <w:r>
        <w:rPr>
          <w:sz w:val="24"/>
        </w:rPr>
        <w:t xml:space="preserve">The time has come for us to raise our voice </w:t>
      </w:r>
    </w:p>
    <w:p w:rsidR="005A79FB" w:rsidRDefault="009001C2" w:rsidP="009001C2">
      <w:pPr>
        <w:spacing w:after="0"/>
        <w:jc w:val="center"/>
        <w:rPr>
          <w:sz w:val="24"/>
        </w:rPr>
      </w:pP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the future of our people</w:t>
      </w:r>
      <w:r w:rsidR="00C53938">
        <w:rPr>
          <w:sz w:val="24"/>
        </w:rPr>
        <w:t>:</w:t>
      </w:r>
    </w:p>
    <w:p w:rsidR="00C53938" w:rsidRPr="000D7279" w:rsidRDefault="00C53938" w:rsidP="005A79FB">
      <w:pPr>
        <w:jc w:val="center"/>
        <w:rPr>
          <w:b/>
          <w:sz w:val="24"/>
        </w:rPr>
      </w:pPr>
      <w:r w:rsidRPr="000D7279">
        <w:rPr>
          <w:b/>
          <w:sz w:val="24"/>
        </w:rPr>
        <w:t>“AM I NOT A</w:t>
      </w:r>
      <w:r w:rsidR="0044581E">
        <w:rPr>
          <w:b/>
          <w:sz w:val="24"/>
        </w:rPr>
        <w:t xml:space="preserve"> CHILD, AND A </w:t>
      </w:r>
      <w:r w:rsidR="009001C2">
        <w:rPr>
          <w:b/>
          <w:sz w:val="24"/>
        </w:rPr>
        <w:t>SON</w:t>
      </w:r>
      <w:r w:rsidR="0044581E">
        <w:rPr>
          <w:b/>
          <w:sz w:val="24"/>
        </w:rPr>
        <w:t>,</w:t>
      </w:r>
      <w:r w:rsidRPr="000D7279">
        <w:rPr>
          <w:b/>
          <w:sz w:val="24"/>
        </w:rPr>
        <w:t xml:space="preserve"> AND A </w:t>
      </w:r>
      <w:r w:rsidR="009001C2">
        <w:rPr>
          <w:b/>
          <w:sz w:val="24"/>
        </w:rPr>
        <w:t>DAUGHTER</w:t>
      </w:r>
      <w:r w:rsidRPr="000D7279">
        <w:rPr>
          <w:b/>
          <w:sz w:val="24"/>
        </w:rPr>
        <w:t>?”</w:t>
      </w:r>
      <w:bookmarkStart w:id="1" w:name="_GoBack"/>
      <w:bookmarkEnd w:id="1"/>
    </w:p>
    <w:p w:rsidR="00636F2E" w:rsidRDefault="00014B3C" w:rsidP="005A79FB">
      <w:pPr>
        <w:spacing w:before="24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524000" cy="1524000"/>
            <wp:effectExtent l="0" t="0" r="0" b="0"/>
            <wp:docPr id="2" name="Picture 2" descr="S:\Strategic Planning\2013\Black Personhood Initiative\Graphics\aminotachil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trategic Planning\2013\Black Personhood Initiative\Graphics\aminotachild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C12" w:rsidRDefault="00DC1C12" w:rsidP="005A79FB">
      <w:pPr>
        <w:spacing w:before="240"/>
        <w:jc w:val="center"/>
        <w:rPr>
          <w:noProof/>
        </w:rPr>
      </w:pPr>
    </w:p>
    <w:sectPr w:rsidR="00DC1C12" w:rsidSect="00075659">
      <w:endnotePr>
        <w:numFmt w:val="decimal"/>
      </w:endnotePr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E2" w:rsidRDefault="00B53BE2" w:rsidP="00CB775B">
      <w:pPr>
        <w:spacing w:after="0" w:line="240" w:lineRule="auto"/>
      </w:pPr>
      <w:r>
        <w:separator/>
      </w:r>
    </w:p>
  </w:endnote>
  <w:endnote w:type="continuationSeparator" w:id="0">
    <w:p w:rsidR="00B53BE2" w:rsidRDefault="00B53BE2" w:rsidP="00CB775B">
      <w:pPr>
        <w:spacing w:after="0" w:line="240" w:lineRule="auto"/>
      </w:pPr>
      <w:r>
        <w:continuationSeparator/>
      </w:r>
    </w:p>
  </w:endnote>
  <w:endnote w:id="1">
    <w:p w:rsidR="00B53BE2" w:rsidRPr="00C53938" w:rsidRDefault="00B53BE2" w:rsidP="007132A4">
      <w:pPr>
        <w:pStyle w:val="EndnoteText"/>
        <w:rPr>
          <w:sz w:val="16"/>
        </w:rPr>
      </w:pPr>
      <w:r w:rsidRPr="00C53938">
        <w:rPr>
          <w:rStyle w:val="EndnoteReference"/>
          <w:sz w:val="16"/>
        </w:rPr>
        <w:endnoteRef/>
      </w:r>
      <w:r w:rsidRPr="00C53938">
        <w:rPr>
          <w:sz w:val="16"/>
        </w:rPr>
        <w:t xml:space="preserve"> </w:t>
      </w:r>
      <w:proofErr w:type="gramStart"/>
      <w:r w:rsidRPr="00C53938">
        <w:rPr>
          <w:sz w:val="16"/>
        </w:rPr>
        <w:t>The International Union for Conservation of Nature (2009).</w:t>
      </w:r>
      <w:proofErr w:type="gramEnd"/>
      <w:r w:rsidRPr="00C53938">
        <w:rPr>
          <w:sz w:val="16"/>
        </w:rPr>
        <w:t xml:space="preserve"> </w:t>
      </w:r>
      <w:proofErr w:type="gramStart"/>
      <w:r w:rsidRPr="00C53938">
        <w:rPr>
          <w:sz w:val="16"/>
        </w:rPr>
        <w:t>IUCN Red List Criteria for Endangered.</w:t>
      </w:r>
      <w:proofErr w:type="gramEnd"/>
      <w:r w:rsidRPr="00C53938">
        <w:rPr>
          <w:sz w:val="16"/>
        </w:rPr>
        <w:t xml:space="preserve"> Available from http://www.eoearth.org/article/IUCN_Red_List_Criteria_for_Endangered</w:t>
      </w:r>
    </w:p>
  </w:endnote>
  <w:endnote w:id="2">
    <w:p w:rsidR="00B53BE2" w:rsidRPr="00C53938" w:rsidRDefault="00B53BE2" w:rsidP="00025E58">
      <w:pPr>
        <w:pStyle w:val="EndnoteText"/>
        <w:rPr>
          <w:sz w:val="16"/>
        </w:rPr>
      </w:pPr>
      <w:r w:rsidRPr="00C53938">
        <w:rPr>
          <w:rStyle w:val="EndnoteReference"/>
          <w:sz w:val="16"/>
        </w:rPr>
        <w:endnoteRef/>
      </w:r>
      <w:r w:rsidRPr="00C53938">
        <w:rPr>
          <w:sz w:val="16"/>
        </w:rPr>
        <w:t xml:space="preserve"> Population projections performed using fertility rate trends and U.S. Census Bureau methodology (see </w:t>
      </w:r>
      <w:r>
        <w:rPr>
          <w:sz w:val="16"/>
        </w:rPr>
        <w:t xml:space="preserve">footnote </w:t>
      </w:r>
      <w:r>
        <w:rPr>
          <w:sz w:val="16"/>
        </w:rPr>
        <w:fldChar w:fldCharType="begin"/>
      </w:r>
      <w:r>
        <w:rPr>
          <w:sz w:val="16"/>
        </w:rPr>
        <w:instrText xml:space="preserve"> NOTEREF _Ref344993807 \h </w:instrText>
      </w:r>
      <w:r>
        <w:rPr>
          <w:sz w:val="16"/>
        </w:rPr>
      </w:r>
      <w:r>
        <w:rPr>
          <w:sz w:val="16"/>
        </w:rPr>
        <w:fldChar w:fldCharType="separate"/>
      </w:r>
      <w:r w:rsidR="00014B3C">
        <w:rPr>
          <w:sz w:val="16"/>
        </w:rPr>
        <w:t>4</w:t>
      </w:r>
      <w:r>
        <w:rPr>
          <w:sz w:val="16"/>
        </w:rPr>
        <w:fldChar w:fldCharType="end"/>
      </w:r>
      <w:r w:rsidRPr="00C53938">
        <w:rPr>
          <w:sz w:val="16"/>
        </w:rPr>
        <w:t xml:space="preserve">). </w:t>
      </w:r>
    </w:p>
  </w:endnote>
  <w:endnote w:id="3">
    <w:p w:rsidR="00B53BE2" w:rsidRPr="00C53938" w:rsidRDefault="00B53BE2">
      <w:pPr>
        <w:pStyle w:val="EndnoteText"/>
        <w:rPr>
          <w:sz w:val="16"/>
        </w:rPr>
      </w:pPr>
      <w:r w:rsidRPr="00C53938">
        <w:rPr>
          <w:rStyle w:val="EndnoteReference"/>
          <w:sz w:val="16"/>
        </w:rPr>
        <w:endnoteRef/>
      </w:r>
      <w:r w:rsidRPr="00C53938">
        <w:rPr>
          <w:sz w:val="16"/>
        </w:rPr>
        <w:t xml:space="preserve"> </w:t>
      </w:r>
      <w:proofErr w:type="gramStart"/>
      <w:r w:rsidRPr="00C53938">
        <w:rPr>
          <w:sz w:val="16"/>
        </w:rPr>
        <w:t>Vital Statistics of New York State – 2010.</w:t>
      </w:r>
      <w:proofErr w:type="gramEnd"/>
      <w:r w:rsidRPr="00C53938">
        <w:rPr>
          <w:sz w:val="16"/>
        </w:rPr>
        <w:t xml:space="preserve"> Available from http://www.health.ny.gov/statistics/vital_statistics/2010/</w:t>
      </w:r>
    </w:p>
  </w:endnote>
  <w:endnote w:id="4">
    <w:p w:rsidR="00B53BE2" w:rsidRPr="00C53938" w:rsidRDefault="00B53BE2" w:rsidP="00025E58">
      <w:pPr>
        <w:pStyle w:val="EndnoteText"/>
        <w:rPr>
          <w:sz w:val="16"/>
        </w:rPr>
      </w:pPr>
      <w:r w:rsidRPr="00C53938">
        <w:rPr>
          <w:rStyle w:val="EndnoteReference"/>
          <w:sz w:val="16"/>
        </w:rPr>
        <w:endnoteRef/>
      </w:r>
      <w:r w:rsidRPr="00C53938">
        <w:rPr>
          <w:sz w:val="16"/>
        </w:rPr>
        <w:t xml:space="preserve"> Total fertility rates calculated from U.S. Census Bureau Vintage 2011 Population Estimates, applying NCHS methodology. See http://www.census.gov/population/projections/files/methodology/methodstatement12.pdf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E2" w:rsidRDefault="00B53BE2" w:rsidP="00CB775B">
      <w:pPr>
        <w:spacing w:after="0" w:line="240" w:lineRule="auto"/>
      </w:pPr>
      <w:r>
        <w:separator/>
      </w:r>
    </w:p>
  </w:footnote>
  <w:footnote w:type="continuationSeparator" w:id="0">
    <w:p w:rsidR="00B53BE2" w:rsidRDefault="00B53BE2" w:rsidP="00CB7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614C4"/>
    <w:multiLevelType w:val="hybridMultilevel"/>
    <w:tmpl w:val="8D14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95562"/>
    <w:multiLevelType w:val="hybridMultilevel"/>
    <w:tmpl w:val="C1C2B934"/>
    <w:lvl w:ilvl="0" w:tplc="AE64A0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6824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EAB5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640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580F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CE3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0BB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C32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189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2C"/>
    <w:rsid w:val="00014B3C"/>
    <w:rsid w:val="00025E58"/>
    <w:rsid w:val="00055752"/>
    <w:rsid w:val="00075659"/>
    <w:rsid w:val="000878F9"/>
    <w:rsid w:val="000C5189"/>
    <w:rsid w:val="000D7279"/>
    <w:rsid w:val="000F7CB7"/>
    <w:rsid w:val="001E6696"/>
    <w:rsid w:val="00255C64"/>
    <w:rsid w:val="002A47B9"/>
    <w:rsid w:val="0044581E"/>
    <w:rsid w:val="004D56BF"/>
    <w:rsid w:val="00531232"/>
    <w:rsid w:val="00564DF9"/>
    <w:rsid w:val="00591DA4"/>
    <w:rsid w:val="005A79FB"/>
    <w:rsid w:val="00636F2E"/>
    <w:rsid w:val="006A1019"/>
    <w:rsid w:val="006D22C8"/>
    <w:rsid w:val="007132A4"/>
    <w:rsid w:val="007D6CD0"/>
    <w:rsid w:val="008D7A1C"/>
    <w:rsid w:val="009001C2"/>
    <w:rsid w:val="00900F99"/>
    <w:rsid w:val="00A51DA7"/>
    <w:rsid w:val="00AB28FA"/>
    <w:rsid w:val="00AC108D"/>
    <w:rsid w:val="00AE2984"/>
    <w:rsid w:val="00B53BE2"/>
    <w:rsid w:val="00BD6A1B"/>
    <w:rsid w:val="00C53938"/>
    <w:rsid w:val="00CB775B"/>
    <w:rsid w:val="00D077DB"/>
    <w:rsid w:val="00D26F11"/>
    <w:rsid w:val="00DC1C12"/>
    <w:rsid w:val="00F37B21"/>
    <w:rsid w:val="00F51D2C"/>
    <w:rsid w:val="00F85902"/>
    <w:rsid w:val="00F863DC"/>
    <w:rsid w:val="00FA2220"/>
    <w:rsid w:val="00FB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7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B77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7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75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A2220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0F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0F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0F99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00F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7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B77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7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75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A2220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0F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0F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0F99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00F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6690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507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23.102\ccshare\Strategic%20Planning\2013\Black%20Personhood%20Initiative\Calculations\MonroeCoBlackPopProjection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Monroe County Black Population Projections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1805895790803927"/>
          <c:y val="0.11843436600992563"/>
          <c:w val="0.84799042480801012"/>
          <c:h val="0.7753574253000034"/>
        </c:manualLayout>
      </c:layout>
      <c:lineChart>
        <c:grouping val="standard"/>
        <c:varyColors val="0"/>
        <c:ser>
          <c:idx val="0"/>
          <c:order val="0"/>
          <c:tx>
            <c:strRef>
              <c:f>[MonroeCoBlackPopProjections.xlsx]Sheet2!$P$12</c:f>
              <c:strCache>
                <c:ptCount val="1"/>
                <c:pt idx="0">
                  <c:v>Low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numRef>
              <c:f>[MonroeCoBlackPopProjections.xlsx]Sheet2!$O$13:$O$18</c:f>
              <c:numCache>
                <c:formatCode>General</c:formatCode>
                <c:ptCount val="6"/>
                <c:pt idx="0">
                  <c:v>2012</c:v>
                </c:pt>
                <c:pt idx="1">
                  <c:v>2032</c:v>
                </c:pt>
                <c:pt idx="2">
                  <c:v>2052</c:v>
                </c:pt>
                <c:pt idx="3">
                  <c:v>2072</c:v>
                </c:pt>
                <c:pt idx="4">
                  <c:v>2092</c:v>
                </c:pt>
                <c:pt idx="5">
                  <c:v>2112</c:v>
                </c:pt>
              </c:numCache>
            </c:numRef>
          </c:cat>
          <c:val>
            <c:numRef>
              <c:f>[MonroeCoBlackPopProjections.xlsx]Sheet2!$P$13:$P$18</c:f>
              <c:numCache>
                <c:formatCode>General</c:formatCode>
                <c:ptCount val="6"/>
                <c:pt idx="0">
                  <c:v>113282</c:v>
                </c:pt>
                <c:pt idx="1">
                  <c:v>92459</c:v>
                </c:pt>
                <c:pt idx="2">
                  <c:v>72611</c:v>
                </c:pt>
                <c:pt idx="3">
                  <c:v>55316</c:v>
                </c:pt>
                <c:pt idx="4">
                  <c:v>40751</c:v>
                </c:pt>
                <c:pt idx="5">
                  <c:v>29238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[MonroeCoBlackPopProjections.xlsx]Sheet2!$Q$12</c:f>
              <c:strCache>
                <c:ptCount val="1"/>
                <c:pt idx="0">
                  <c:v>Projected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numRef>
              <c:f>[MonroeCoBlackPopProjections.xlsx]Sheet2!$O$13:$O$18</c:f>
              <c:numCache>
                <c:formatCode>General</c:formatCode>
                <c:ptCount val="6"/>
                <c:pt idx="0">
                  <c:v>2012</c:v>
                </c:pt>
                <c:pt idx="1">
                  <c:v>2032</c:v>
                </c:pt>
                <c:pt idx="2">
                  <c:v>2052</c:v>
                </c:pt>
                <c:pt idx="3">
                  <c:v>2072</c:v>
                </c:pt>
                <c:pt idx="4">
                  <c:v>2092</c:v>
                </c:pt>
                <c:pt idx="5">
                  <c:v>2112</c:v>
                </c:pt>
              </c:numCache>
            </c:numRef>
          </c:cat>
          <c:val>
            <c:numRef>
              <c:f>[MonroeCoBlackPopProjections.xlsx]Sheet2!$Q$13:$Q$18</c:f>
              <c:numCache>
                <c:formatCode>0</c:formatCode>
                <c:ptCount val="6"/>
                <c:pt idx="0">
                  <c:v>113282</c:v>
                </c:pt>
                <c:pt idx="1">
                  <c:v>107681.5</c:v>
                </c:pt>
                <c:pt idx="2">
                  <c:v>97172.5</c:v>
                </c:pt>
                <c:pt idx="3">
                  <c:v>80950</c:v>
                </c:pt>
                <c:pt idx="4">
                  <c:v>63653</c:v>
                </c:pt>
                <c:pt idx="5">
                  <c:v>48218.5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[MonroeCoBlackPopProjections.xlsx]Sheet2!$R$12</c:f>
              <c:strCache>
                <c:ptCount val="1"/>
                <c:pt idx="0">
                  <c:v>High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numRef>
              <c:f>[MonroeCoBlackPopProjections.xlsx]Sheet2!$O$13:$O$18</c:f>
              <c:numCache>
                <c:formatCode>General</c:formatCode>
                <c:ptCount val="6"/>
                <c:pt idx="0">
                  <c:v>2012</c:v>
                </c:pt>
                <c:pt idx="1">
                  <c:v>2032</c:v>
                </c:pt>
                <c:pt idx="2">
                  <c:v>2052</c:v>
                </c:pt>
                <c:pt idx="3">
                  <c:v>2072</c:v>
                </c:pt>
                <c:pt idx="4">
                  <c:v>2092</c:v>
                </c:pt>
                <c:pt idx="5">
                  <c:v>2112</c:v>
                </c:pt>
              </c:numCache>
            </c:numRef>
          </c:cat>
          <c:val>
            <c:numRef>
              <c:f>[MonroeCoBlackPopProjections.xlsx]Sheet2!$R$13:$R$18</c:f>
              <c:numCache>
                <c:formatCode>General</c:formatCode>
                <c:ptCount val="6"/>
                <c:pt idx="0">
                  <c:v>113282</c:v>
                </c:pt>
                <c:pt idx="1">
                  <c:v>122904</c:v>
                </c:pt>
                <c:pt idx="2">
                  <c:v>121734</c:v>
                </c:pt>
                <c:pt idx="3">
                  <c:v>106584</c:v>
                </c:pt>
                <c:pt idx="4">
                  <c:v>86555</c:v>
                </c:pt>
                <c:pt idx="5">
                  <c:v>67199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[MonroeCoBlackPopProjections.xlsx]Sheet2!$S$12</c:f>
              <c:strCache>
                <c:ptCount val="1"/>
                <c:pt idx="0">
                  <c:v>Half-Life</c:v>
                </c:pt>
              </c:strCache>
            </c:strRef>
          </c:tx>
          <c:spPr>
            <a:ln w="19050">
              <a:solidFill>
                <a:schemeClr val="tx1"/>
              </a:solidFill>
              <a:prstDash val="dash"/>
            </a:ln>
          </c:spPr>
          <c:marker>
            <c:symbol val="none"/>
          </c:marker>
          <c:cat>
            <c:numRef>
              <c:f>[MonroeCoBlackPopProjections.xlsx]Sheet2!$O$13:$O$18</c:f>
              <c:numCache>
                <c:formatCode>General</c:formatCode>
                <c:ptCount val="6"/>
                <c:pt idx="0">
                  <c:v>2012</c:v>
                </c:pt>
                <c:pt idx="1">
                  <c:v>2032</c:v>
                </c:pt>
                <c:pt idx="2">
                  <c:v>2052</c:v>
                </c:pt>
                <c:pt idx="3">
                  <c:v>2072</c:v>
                </c:pt>
                <c:pt idx="4">
                  <c:v>2092</c:v>
                </c:pt>
                <c:pt idx="5">
                  <c:v>2112</c:v>
                </c:pt>
              </c:numCache>
            </c:numRef>
          </c:cat>
          <c:val>
            <c:numRef>
              <c:f>[MonroeCoBlackPopProjections.xlsx]Sheet2!$S$13:$S$18</c:f>
              <c:numCache>
                <c:formatCode>General</c:formatCode>
                <c:ptCount val="6"/>
                <c:pt idx="0">
                  <c:v>56641</c:v>
                </c:pt>
                <c:pt idx="1">
                  <c:v>56641</c:v>
                </c:pt>
                <c:pt idx="2">
                  <c:v>56641</c:v>
                </c:pt>
                <c:pt idx="3">
                  <c:v>56641</c:v>
                </c:pt>
                <c:pt idx="4">
                  <c:v>56641</c:v>
                </c:pt>
                <c:pt idx="5">
                  <c:v>56641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545536"/>
        <c:axId val="88557056"/>
      </c:lineChart>
      <c:catAx>
        <c:axId val="88545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8557056"/>
        <c:crosses val="autoZero"/>
        <c:auto val="1"/>
        <c:lblAlgn val="ctr"/>
        <c:lblOffset val="100"/>
        <c:noMultiLvlLbl val="0"/>
      </c:catAx>
      <c:valAx>
        <c:axId val="88557056"/>
        <c:scaling>
          <c:orientation val="minMax"/>
          <c:min val="4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545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44446874696219"/>
          <c:y val="0.13886525866509677"/>
          <c:w val="0.22015966754155727"/>
          <c:h val="0.33294038628068751"/>
        </c:manualLayout>
      </c:layout>
      <c:overlay val="1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D908-DD5E-42B8-B2D1-09C654F4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2</cp:revision>
  <cp:lastPrinted>2013-01-25T15:40:00Z</cp:lastPrinted>
  <dcterms:created xsi:type="dcterms:W3CDTF">2013-09-23T17:50:00Z</dcterms:created>
  <dcterms:modified xsi:type="dcterms:W3CDTF">2013-09-23T17:50:00Z</dcterms:modified>
</cp:coreProperties>
</file>